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DF" w:rsidRDefault="005155DF" w:rsidP="005155D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Says/I Say/ So</w:t>
      </w:r>
    </w:p>
    <w:p w:rsidR="005155DF" w:rsidRDefault="005155DF" w:rsidP="005155DF">
      <w:pPr>
        <w:spacing w:after="0" w:line="240" w:lineRule="auto"/>
        <w:rPr>
          <w:b/>
        </w:rPr>
      </w:pPr>
      <w:r>
        <w:rPr>
          <w:b/>
        </w:rPr>
        <w:t xml:space="preserve">The purpose of this activity is to practice </w:t>
      </w:r>
      <w:r>
        <w:rPr>
          <w:b/>
        </w:rPr>
        <w:t>quotation analysis</w:t>
      </w:r>
      <w:r>
        <w:rPr>
          <w:b/>
        </w:rPr>
        <w:t>.  For each of the following quotes, state what you think it means (I Say) and why it’s important</w:t>
      </w:r>
      <w:r>
        <w:rPr>
          <w:b/>
        </w:rPr>
        <w:t xml:space="preserve"> to the story</w:t>
      </w:r>
      <w:r>
        <w:rPr>
          <w:b/>
        </w:rPr>
        <w:t xml:space="preserve"> (So).  </w:t>
      </w:r>
      <w:r>
        <w:rPr>
          <w:b/>
        </w:rPr>
        <w:t>Try to use complete sentences for this activity.</w:t>
      </w:r>
    </w:p>
    <w:p w:rsidR="005155DF" w:rsidRDefault="005155DF" w:rsidP="005155DF">
      <w:pPr>
        <w:spacing w:after="0" w:line="240" w:lineRule="auto"/>
        <w:rPr>
          <w:b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430"/>
        <w:gridCol w:w="3960"/>
        <w:gridCol w:w="3960"/>
      </w:tblGrid>
      <w:tr w:rsidR="005155DF" w:rsidTr="00C92385">
        <w:tc>
          <w:tcPr>
            <w:tcW w:w="2430" w:type="dxa"/>
          </w:tcPr>
          <w:p w:rsidR="005155DF" w:rsidRDefault="005155DF" w:rsidP="00C92385">
            <w:pPr>
              <w:jc w:val="center"/>
              <w:rPr>
                <w:b/>
              </w:rPr>
            </w:pPr>
            <w:r>
              <w:rPr>
                <w:b/>
              </w:rPr>
              <w:t>It Says</w:t>
            </w:r>
          </w:p>
        </w:tc>
        <w:tc>
          <w:tcPr>
            <w:tcW w:w="3960" w:type="dxa"/>
          </w:tcPr>
          <w:p w:rsidR="005155DF" w:rsidRDefault="005155DF" w:rsidP="00C92385">
            <w:pPr>
              <w:jc w:val="center"/>
              <w:rPr>
                <w:b/>
              </w:rPr>
            </w:pPr>
            <w:r>
              <w:rPr>
                <w:b/>
              </w:rPr>
              <w:t>I Say</w:t>
            </w:r>
          </w:p>
        </w:tc>
        <w:tc>
          <w:tcPr>
            <w:tcW w:w="3960" w:type="dxa"/>
          </w:tcPr>
          <w:p w:rsidR="005155DF" w:rsidRDefault="005155DF" w:rsidP="00C92385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</w:tr>
      <w:tr w:rsidR="005155DF" w:rsidRPr="00C92385" w:rsidTr="00C92385">
        <w:trPr>
          <w:trHeight w:val="1943"/>
        </w:trPr>
        <w:tc>
          <w:tcPr>
            <w:tcW w:w="2430" w:type="dxa"/>
          </w:tcPr>
          <w:p w:rsidR="005155DF" w:rsidRPr="00C92385" w:rsidRDefault="005155DF" w:rsidP="00846A67"/>
          <w:p w:rsidR="005155DF" w:rsidRPr="00C92385" w:rsidRDefault="005155DF" w:rsidP="00C92385">
            <w:pPr>
              <w:spacing w:after="0" w:line="240" w:lineRule="auto"/>
              <w:rPr>
                <w:rFonts w:cstheme="minorHAnsi"/>
              </w:rPr>
            </w:pPr>
            <w:r w:rsidRPr="00C92385">
              <w:rPr>
                <w:rFonts w:cstheme="minorHAnsi"/>
              </w:rPr>
              <w:t>“You can help me find you…I’ll know it’s you…just like you know Munch.”</w:t>
            </w:r>
            <w:r w:rsidR="00C92385">
              <w:rPr>
                <w:rFonts w:cstheme="minorHAnsi"/>
              </w:rPr>
              <w:t xml:space="preserve"> (</w:t>
            </w:r>
            <w:r w:rsidRPr="00C92385">
              <w:rPr>
                <w:rFonts w:cstheme="minorHAnsi"/>
              </w:rPr>
              <w:t>p.44</w:t>
            </w:r>
            <w:r w:rsidR="00C92385">
              <w:rPr>
                <w:rFonts w:cstheme="minorHAnsi"/>
              </w:rPr>
              <w:t>)</w:t>
            </w:r>
          </w:p>
        </w:tc>
        <w:tc>
          <w:tcPr>
            <w:tcW w:w="3960" w:type="dxa"/>
          </w:tcPr>
          <w:p w:rsidR="005155DF" w:rsidRPr="00C92385" w:rsidRDefault="005155DF" w:rsidP="00846A67">
            <w:pPr>
              <w:rPr>
                <w:b/>
              </w:rPr>
            </w:pPr>
          </w:p>
        </w:tc>
        <w:tc>
          <w:tcPr>
            <w:tcW w:w="3960" w:type="dxa"/>
          </w:tcPr>
          <w:p w:rsidR="005155DF" w:rsidRPr="00C92385" w:rsidRDefault="005155DF" w:rsidP="00846A67">
            <w:pPr>
              <w:rPr>
                <w:b/>
              </w:rPr>
            </w:pPr>
          </w:p>
        </w:tc>
      </w:tr>
      <w:tr w:rsidR="005155DF" w:rsidRPr="00C92385" w:rsidTr="00C92385">
        <w:trPr>
          <w:trHeight w:val="1961"/>
        </w:trPr>
        <w:tc>
          <w:tcPr>
            <w:tcW w:w="2430" w:type="dxa"/>
          </w:tcPr>
          <w:p w:rsidR="005155DF" w:rsidRPr="00C92385" w:rsidRDefault="005155DF" w:rsidP="00846A67"/>
          <w:p w:rsidR="005155DF" w:rsidRPr="00C92385" w:rsidRDefault="005155DF" w:rsidP="00C92385">
            <w:pPr>
              <w:spacing w:after="0" w:line="240" w:lineRule="auto"/>
              <w:rPr>
                <w:rFonts w:cstheme="minorHAnsi"/>
              </w:rPr>
            </w:pPr>
            <w:r w:rsidRPr="00C92385">
              <w:rPr>
                <w:rFonts w:cstheme="minorHAnsi"/>
              </w:rPr>
              <w:t>“A guilty conscience is not worth extra food.”</w:t>
            </w:r>
            <w:r w:rsidR="00C92385">
              <w:rPr>
                <w:rFonts w:cstheme="minorHAnsi"/>
              </w:rPr>
              <w:t xml:space="preserve"> (</w:t>
            </w:r>
            <w:r w:rsidRPr="00C92385">
              <w:rPr>
                <w:rFonts w:cstheme="minorHAnsi"/>
              </w:rPr>
              <w:t>p.122</w:t>
            </w:r>
            <w:r w:rsidR="00C92385">
              <w:rPr>
                <w:rFonts w:cstheme="minorHAnsi"/>
              </w:rPr>
              <w:t>)</w:t>
            </w:r>
          </w:p>
        </w:tc>
        <w:tc>
          <w:tcPr>
            <w:tcW w:w="3960" w:type="dxa"/>
          </w:tcPr>
          <w:p w:rsidR="005155DF" w:rsidRPr="00C92385" w:rsidRDefault="005155DF" w:rsidP="00846A67">
            <w:pPr>
              <w:rPr>
                <w:b/>
              </w:rPr>
            </w:pPr>
          </w:p>
          <w:p w:rsidR="005155DF" w:rsidRPr="00C92385" w:rsidRDefault="005155DF" w:rsidP="00846A67">
            <w:pPr>
              <w:rPr>
                <w:b/>
              </w:rPr>
            </w:pPr>
          </w:p>
          <w:p w:rsidR="005155DF" w:rsidRPr="00C92385" w:rsidRDefault="005155DF" w:rsidP="00846A67">
            <w:pPr>
              <w:rPr>
                <w:b/>
              </w:rPr>
            </w:pPr>
          </w:p>
          <w:p w:rsidR="005155DF" w:rsidRPr="00C92385" w:rsidRDefault="005155DF" w:rsidP="00846A67">
            <w:pPr>
              <w:rPr>
                <w:b/>
              </w:rPr>
            </w:pPr>
          </w:p>
        </w:tc>
        <w:tc>
          <w:tcPr>
            <w:tcW w:w="3960" w:type="dxa"/>
          </w:tcPr>
          <w:p w:rsidR="005155DF" w:rsidRPr="00C92385" w:rsidRDefault="005155DF" w:rsidP="00846A67">
            <w:pPr>
              <w:rPr>
                <w:b/>
              </w:rPr>
            </w:pPr>
          </w:p>
        </w:tc>
      </w:tr>
      <w:tr w:rsidR="00C92385" w:rsidRPr="00C92385" w:rsidTr="00C92385">
        <w:trPr>
          <w:trHeight w:val="2087"/>
        </w:trPr>
        <w:tc>
          <w:tcPr>
            <w:tcW w:w="2430" w:type="dxa"/>
          </w:tcPr>
          <w:p w:rsidR="00C92385" w:rsidRDefault="00C92385" w:rsidP="00846A67">
            <w:pPr>
              <w:rPr>
                <w:rFonts w:cstheme="minorHAnsi"/>
              </w:rPr>
            </w:pPr>
          </w:p>
          <w:p w:rsidR="00C92385" w:rsidRPr="00C92385" w:rsidRDefault="00C92385" w:rsidP="00846A67">
            <w:pPr>
              <w:rPr>
                <w:rFonts w:cstheme="minorHAnsi"/>
              </w:rPr>
            </w:pPr>
            <w:r w:rsidRPr="00C92385">
              <w:rPr>
                <w:rFonts w:cstheme="minorHAnsi"/>
              </w:rPr>
              <w:t>“My arm ached under his grip.  As soon as we disappeared from view, he let go of me.”</w:t>
            </w:r>
            <w:r>
              <w:rPr>
                <w:rFonts w:cstheme="minorHAnsi"/>
              </w:rPr>
              <w:t xml:space="preserve"> (</w:t>
            </w:r>
            <w:r w:rsidRPr="00C92385">
              <w:rPr>
                <w:rFonts w:cstheme="minorHAnsi"/>
              </w:rPr>
              <w:t>p.171</w:t>
            </w:r>
            <w:r>
              <w:rPr>
                <w:rFonts w:cstheme="minorHAnsi"/>
              </w:rPr>
              <w:t>)</w:t>
            </w:r>
          </w:p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</w:tr>
      <w:tr w:rsidR="00C92385" w:rsidRPr="00C92385" w:rsidTr="00C92385">
        <w:trPr>
          <w:trHeight w:val="2051"/>
        </w:trPr>
        <w:tc>
          <w:tcPr>
            <w:tcW w:w="2430" w:type="dxa"/>
          </w:tcPr>
          <w:p w:rsidR="00C92385" w:rsidRDefault="00C92385" w:rsidP="00C92385"/>
          <w:p w:rsidR="00C92385" w:rsidRPr="00C92385" w:rsidRDefault="00C92385" w:rsidP="00846A67">
            <w:r w:rsidRPr="00C92385">
              <w:t xml:space="preserve">“Our fate is death, no matter whose hands we fall into.” </w:t>
            </w:r>
            <w:r>
              <w:t>(p</w:t>
            </w:r>
            <w:r w:rsidRPr="00C92385">
              <w:t>. 182</w:t>
            </w:r>
            <w:r>
              <w:t>)</w:t>
            </w:r>
          </w:p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</w:tr>
      <w:tr w:rsidR="00C92385" w:rsidRPr="00C92385" w:rsidTr="00C92385">
        <w:trPr>
          <w:trHeight w:val="2240"/>
        </w:trPr>
        <w:tc>
          <w:tcPr>
            <w:tcW w:w="2430" w:type="dxa"/>
          </w:tcPr>
          <w:p w:rsidR="00C92385" w:rsidRDefault="00C92385" w:rsidP="00C92385"/>
          <w:p w:rsidR="00C92385" w:rsidRDefault="00C92385" w:rsidP="00C92385">
            <w:r w:rsidRPr="00C92385">
              <w:t>“Don’t give them anything, Lina, not even your fear.” (p. 243)</w:t>
            </w:r>
          </w:p>
          <w:p w:rsidR="00C92385" w:rsidRPr="00C92385" w:rsidRDefault="00C92385" w:rsidP="00C92385"/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  <w:tc>
          <w:tcPr>
            <w:tcW w:w="3960" w:type="dxa"/>
          </w:tcPr>
          <w:p w:rsidR="00C92385" w:rsidRPr="00C92385" w:rsidRDefault="00C92385" w:rsidP="00846A67">
            <w:pPr>
              <w:rPr>
                <w:b/>
              </w:rPr>
            </w:pPr>
          </w:p>
        </w:tc>
      </w:tr>
    </w:tbl>
    <w:p w:rsidR="00770FC3" w:rsidRPr="00C92385" w:rsidRDefault="00C92385">
      <w:bookmarkStart w:id="0" w:name="_GoBack"/>
      <w:bookmarkEnd w:id="0"/>
    </w:p>
    <w:sectPr w:rsidR="00770FC3" w:rsidRPr="00C9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327A"/>
    <w:multiLevelType w:val="hybridMultilevel"/>
    <w:tmpl w:val="1770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F"/>
    <w:rsid w:val="005155DF"/>
    <w:rsid w:val="00623DFC"/>
    <w:rsid w:val="008555D5"/>
    <w:rsid w:val="008B26EA"/>
    <w:rsid w:val="00C92385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CF514-E18F-473C-AF2D-CAB1FABA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2018-11-29T18:08:00Z</dcterms:created>
  <dcterms:modified xsi:type="dcterms:W3CDTF">2018-11-29T18:28:00Z</dcterms:modified>
</cp:coreProperties>
</file>