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96C9" w14:textId="2CA86D05" w:rsidR="00770FC3" w:rsidRPr="00AD6338" w:rsidRDefault="00C05BAE" w:rsidP="00173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Thematic Piece Rubric</w:t>
      </w:r>
    </w:p>
    <w:tbl>
      <w:tblPr>
        <w:tblW w:w="147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330"/>
        <w:gridCol w:w="3330"/>
        <w:gridCol w:w="3330"/>
        <w:gridCol w:w="3330"/>
      </w:tblGrid>
      <w:tr w:rsidR="001D0A17" w:rsidRPr="00AD6338" w14:paraId="68DF2D29" w14:textId="77777777" w:rsidTr="004B3F6F">
        <w:trPr>
          <w:trHeight w:val="629"/>
        </w:trPr>
        <w:tc>
          <w:tcPr>
            <w:tcW w:w="1440" w:type="dxa"/>
          </w:tcPr>
          <w:p w14:paraId="322B6BFF" w14:textId="77777777" w:rsidR="001D0A17" w:rsidRPr="00AD6338" w:rsidRDefault="001D0A17" w:rsidP="00173632">
            <w:pPr>
              <w:spacing w:after="0" w:line="240" w:lineRule="auto"/>
            </w:pPr>
          </w:p>
        </w:tc>
        <w:tc>
          <w:tcPr>
            <w:tcW w:w="3330" w:type="dxa"/>
          </w:tcPr>
          <w:p w14:paraId="7BEAD5F7" w14:textId="166DE932" w:rsidR="001D0A17" w:rsidRPr="00AD6338" w:rsidRDefault="001D0A17" w:rsidP="009E4F0D">
            <w:pPr>
              <w:spacing w:after="0" w:line="240" w:lineRule="auto"/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78261E94" w14:textId="57BF4273" w:rsidR="001D0A17" w:rsidRPr="00AD6338" w:rsidRDefault="001D0A17" w:rsidP="009E4F0D">
            <w:pPr>
              <w:spacing w:after="0" w:line="240" w:lineRule="auto"/>
              <w:ind w:left="72"/>
              <w:jc w:val="center"/>
              <w:rPr>
                <w:b/>
                <w:bCs/>
              </w:rPr>
            </w:pPr>
            <w:r w:rsidRPr="00AD6338">
              <w:rPr>
                <w:b/>
                <w:bCs/>
              </w:rPr>
              <w:t>Strong</w:t>
            </w:r>
          </w:p>
        </w:tc>
        <w:tc>
          <w:tcPr>
            <w:tcW w:w="3330" w:type="dxa"/>
          </w:tcPr>
          <w:p w14:paraId="46DADA59" w14:textId="0A00B885" w:rsidR="001D0A17" w:rsidRPr="00AD6338" w:rsidRDefault="001D0A17" w:rsidP="009E4F0D">
            <w:pPr>
              <w:spacing w:after="0" w:line="240" w:lineRule="auto"/>
              <w:ind w:left="72"/>
              <w:jc w:val="center"/>
            </w:pPr>
            <w:r>
              <w:rPr>
                <w:b/>
                <w:bCs/>
              </w:rPr>
              <w:t>3</w:t>
            </w:r>
          </w:p>
          <w:p w14:paraId="54F75176" w14:textId="11806800" w:rsidR="001D0A17" w:rsidRPr="00AD6338" w:rsidRDefault="001D0A17" w:rsidP="009E4F0D">
            <w:pPr>
              <w:spacing w:after="0" w:line="240" w:lineRule="auto"/>
              <w:ind w:left="72"/>
              <w:jc w:val="center"/>
            </w:pPr>
            <w:r>
              <w:rPr>
                <w:b/>
                <w:bCs/>
              </w:rPr>
              <w:t>Appropriate</w:t>
            </w:r>
          </w:p>
        </w:tc>
        <w:tc>
          <w:tcPr>
            <w:tcW w:w="3330" w:type="dxa"/>
          </w:tcPr>
          <w:p w14:paraId="2EFD007F" w14:textId="6F434941" w:rsidR="001D0A17" w:rsidRPr="00AD6338" w:rsidRDefault="001D0A17" w:rsidP="009E4F0D">
            <w:pPr>
              <w:spacing w:after="0" w:line="240" w:lineRule="auto"/>
              <w:ind w:left="72"/>
              <w:jc w:val="center"/>
            </w:pPr>
            <w:r>
              <w:rPr>
                <w:b/>
                <w:bCs/>
              </w:rPr>
              <w:t>2</w:t>
            </w:r>
          </w:p>
          <w:p w14:paraId="3B08DFCE" w14:textId="0ED1D298" w:rsidR="001D0A17" w:rsidRPr="00AD6338" w:rsidRDefault="001D0A17" w:rsidP="009E4F0D">
            <w:pPr>
              <w:spacing w:after="0" w:line="240" w:lineRule="auto"/>
              <w:ind w:left="72"/>
              <w:jc w:val="center"/>
            </w:pPr>
            <w:r>
              <w:rPr>
                <w:b/>
                <w:bCs/>
              </w:rPr>
              <w:t>Developing</w:t>
            </w:r>
          </w:p>
        </w:tc>
        <w:tc>
          <w:tcPr>
            <w:tcW w:w="3330" w:type="dxa"/>
          </w:tcPr>
          <w:p w14:paraId="5E7EA93E" w14:textId="3D7CC6DA" w:rsidR="001D0A17" w:rsidRPr="00AD6338" w:rsidRDefault="001D0A17" w:rsidP="009E4F0D">
            <w:pPr>
              <w:spacing w:after="0" w:line="240" w:lineRule="auto"/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3C2F8D56" w14:textId="24DC963F" w:rsidR="001D0A17" w:rsidRPr="00AD6338" w:rsidRDefault="001D0A17" w:rsidP="009E4F0D">
            <w:pPr>
              <w:spacing w:after="0" w:line="240" w:lineRule="auto"/>
              <w:ind w:left="72"/>
              <w:jc w:val="center"/>
            </w:pPr>
            <w:r>
              <w:rPr>
                <w:b/>
                <w:bCs/>
              </w:rPr>
              <w:t>Beginning</w:t>
            </w:r>
          </w:p>
        </w:tc>
      </w:tr>
      <w:tr w:rsidR="001D0A17" w:rsidRPr="00AD6338" w14:paraId="59F7F6C9" w14:textId="77777777" w:rsidTr="004B3F6F">
        <w:trPr>
          <w:trHeight w:val="899"/>
        </w:trPr>
        <w:tc>
          <w:tcPr>
            <w:tcW w:w="1440" w:type="dxa"/>
          </w:tcPr>
          <w:p w14:paraId="54D4752E" w14:textId="7E2F0CDA" w:rsidR="001D0A17" w:rsidRPr="00AD6338" w:rsidRDefault="001D0A17" w:rsidP="00956568">
            <w:r w:rsidRPr="00AD6338">
              <w:rPr>
                <w:b/>
                <w:bCs/>
              </w:rPr>
              <w:t xml:space="preserve">Ideas </w:t>
            </w:r>
          </w:p>
          <w:p w14:paraId="75A04624" w14:textId="77777777" w:rsidR="001D0A17" w:rsidRPr="00AD6338" w:rsidRDefault="001D0A17" w:rsidP="00956568">
            <w:pPr>
              <w:pStyle w:val="quotesintables"/>
              <w:ind w:left="180" w:hanging="18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</w:tcPr>
          <w:p w14:paraId="092E6020" w14:textId="482D6F92" w:rsidR="001D0A17" w:rsidRPr="00AD6338" w:rsidRDefault="001D0A17" w:rsidP="00AD6338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Demonstrates an insightful interpretation of theme, which is supported by strong evidence from the text.</w:t>
            </w:r>
          </w:p>
        </w:tc>
        <w:tc>
          <w:tcPr>
            <w:tcW w:w="3330" w:type="dxa"/>
          </w:tcPr>
          <w:p w14:paraId="20AFCA84" w14:textId="44CFDBC6" w:rsidR="001D0A17" w:rsidRPr="00AD6338" w:rsidRDefault="001D0A17" w:rsidP="00AD6338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Demonstrates an appropriate interpretation of theme, which is supported by relevant evidence from the text.</w:t>
            </w:r>
            <w:r w:rsidRPr="00AD6338"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12F8F21D" w14:textId="00646257" w:rsidR="001D0A17" w:rsidRPr="00951CFB" w:rsidRDefault="001D0A17" w:rsidP="00AD6338">
            <w:pPr>
              <w:pStyle w:val="quotesintables"/>
              <w:ind w:left="-19" w:right="-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Student attempts to derive theme.  Interpretation represents subject rather than theme, is too vague, or is not prevalent in the text.</w:t>
            </w:r>
          </w:p>
        </w:tc>
        <w:tc>
          <w:tcPr>
            <w:tcW w:w="3330" w:type="dxa"/>
          </w:tcPr>
          <w:p w14:paraId="736CF2F0" w14:textId="66743651" w:rsidR="001D0A17" w:rsidRPr="00AD6338" w:rsidRDefault="001D0A17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Studen</w:t>
            </w:r>
            <w:r>
              <w:rPr>
                <w:rFonts w:asciiTheme="minorHAnsi" w:hAnsiTheme="minorHAnsi" w:cstheme="minorHAnsi"/>
                <w:color w:val="000000"/>
              </w:rPr>
              <w:t>t’s interpretation of theme is incorrect; demonstrates a lack of understanding of the text.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</w:tr>
      <w:tr w:rsidR="001D0A17" w:rsidRPr="00AD6338" w14:paraId="6326B8F9" w14:textId="77777777" w:rsidTr="004B3F6F">
        <w:trPr>
          <w:trHeight w:val="1286"/>
        </w:trPr>
        <w:tc>
          <w:tcPr>
            <w:tcW w:w="1440" w:type="dxa"/>
          </w:tcPr>
          <w:p w14:paraId="29C4AFC4" w14:textId="77777777" w:rsidR="001D0A17" w:rsidRPr="00AD6338" w:rsidRDefault="001D0A17" w:rsidP="005A3AAD">
            <w:r w:rsidRPr="00AD6338">
              <w:rPr>
                <w:b/>
                <w:bCs/>
              </w:rPr>
              <w:t>Organization</w:t>
            </w:r>
          </w:p>
          <w:p w14:paraId="7997B0FD" w14:textId="77777777" w:rsidR="001D0A17" w:rsidRPr="00AD6338" w:rsidRDefault="001D0A17" w:rsidP="005A3AAD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14:paraId="20AB3DD7" w14:textId="64D39E31" w:rsidR="001D0A17" w:rsidRPr="00AD6338" w:rsidRDefault="001D0A17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 xml:space="preserve">Organized in a logical manner; paragraphing is </w:t>
            </w:r>
            <w:proofErr w:type="gramStart"/>
            <w:r>
              <w:rPr>
                <w:rFonts w:asciiTheme="minorHAnsi" w:hAnsiTheme="minorHAnsi"/>
              </w:rPr>
              <w:t>used</w:t>
            </w:r>
            <w:proofErr w:type="gramEnd"/>
            <w:r>
              <w:rPr>
                <w:rFonts w:asciiTheme="minorHAnsi" w:hAnsiTheme="minorHAnsi"/>
              </w:rPr>
              <w:t xml:space="preserve"> and student</w:t>
            </w:r>
            <w:r w:rsidRPr="00AD6338">
              <w:rPr>
                <w:rFonts w:asciiTheme="minorHAnsi" w:hAnsiTheme="minorHAnsi"/>
              </w:rPr>
              <w:t xml:space="preserve"> makes </w:t>
            </w:r>
            <w:r>
              <w:rPr>
                <w:rFonts w:asciiTheme="minorHAnsi" w:hAnsiTheme="minorHAnsi"/>
              </w:rPr>
              <w:t>effective use of</w:t>
            </w:r>
            <w:r w:rsidRPr="00AD6338">
              <w:rPr>
                <w:rFonts w:asciiTheme="minorHAnsi" w:hAnsiTheme="minorHAnsi"/>
              </w:rPr>
              <w:t xml:space="preserve"> transitions</w:t>
            </w:r>
            <w:r>
              <w:rPr>
                <w:rFonts w:asciiTheme="minorHAnsi" w:hAnsiTheme="minorHAnsi"/>
              </w:rPr>
              <w:t xml:space="preserve"> between ideas and sentences</w:t>
            </w:r>
            <w:r w:rsidRPr="00AD6338">
              <w:rPr>
                <w:rFonts w:asciiTheme="minorHAnsi" w:hAnsiTheme="minorHAnsi"/>
              </w:rPr>
              <w:t xml:space="preserve">.  </w:t>
            </w:r>
            <w:r>
              <w:rPr>
                <w:rFonts w:asciiTheme="minorHAnsi" w:hAnsiTheme="minorHAnsi"/>
              </w:rPr>
              <w:t>Student includes the author’s name, title of the text, summary of the text, and interpretation of theme.</w:t>
            </w:r>
          </w:p>
        </w:tc>
        <w:tc>
          <w:tcPr>
            <w:tcW w:w="3330" w:type="dxa"/>
          </w:tcPr>
          <w:p w14:paraId="51918E0E" w14:textId="2FEE63CE" w:rsidR="001D0A17" w:rsidRPr="00AD6338" w:rsidRDefault="001D0A17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 xml:space="preserve">Organized in a logical manner; paragraphing is </w:t>
            </w:r>
            <w:proofErr w:type="gramStart"/>
            <w:r>
              <w:rPr>
                <w:rFonts w:asciiTheme="minorHAnsi" w:hAnsiTheme="minorHAnsi"/>
              </w:rPr>
              <w:t>used</w:t>
            </w:r>
            <w:proofErr w:type="gramEnd"/>
            <w:r>
              <w:rPr>
                <w:rFonts w:asciiTheme="minorHAnsi" w:hAnsiTheme="minorHAnsi"/>
              </w:rPr>
              <w:t xml:space="preserve"> and student</w:t>
            </w:r>
            <w:r w:rsidRPr="00AD6338">
              <w:rPr>
                <w:rFonts w:asciiTheme="minorHAnsi" w:hAnsiTheme="minorHAnsi"/>
              </w:rPr>
              <w:t xml:space="preserve"> makes</w:t>
            </w:r>
            <w:r>
              <w:rPr>
                <w:rFonts w:asciiTheme="minorHAnsi" w:hAnsiTheme="minorHAnsi"/>
              </w:rPr>
              <w:t xml:space="preserve"> some</w:t>
            </w:r>
            <w:r>
              <w:rPr>
                <w:rFonts w:asciiTheme="minorHAnsi" w:hAnsiTheme="minorHAnsi"/>
              </w:rPr>
              <w:t xml:space="preserve"> use of</w:t>
            </w:r>
            <w:r w:rsidRPr="00AD6338">
              <w:rPr>
                <w:rFonts w:asciiTheme="minorHAnsi" w:hAnsiTheme="minorHAnsi"/>
              </w:rPr>
              <w:t xml:space="preserve"> transitions</w:t>
            </w:r>
            <w:r>
              <w:rPr>
                <w:rFonts w:asciiTheme="minorHAnsi" w:hAnsiTheme="minorHAnsi"/>
              </w:rPr>
              <w:t xml:space="preserve"> between ideas and sentences</w:t>
            </w:r>
            <w:r w:rsidRPr="00AD6338">
              <w:rPr>
                <w:rFonts w:asciiTheme="minorHAnsi" w:hAnsiTheme="minorHAnsi"/>
              </w:rPr>
              <w:t xml:space="preserve">.  </w:t>
            </w:r>
            <w:r>
              <w:rPr>
                <w:rFonts w:asciiTheme="minorHAnsi" w:hAnsiTheme="minorHAnsi"/>
              </w:rPr>
              <w:t>Student includes the author’s name, title of the text, summary of the text, and interpretation of theme.</w:t>
            </w:r>
          </w:p>
        </w:tc>
        <w:tc>
          <w:tcPr>
            <w:tcW w:w="3330" w:type="dxa"/>
          </w:tcPr>
          <w:p w14:paraId="5803967C" w14:textId="37F62FD5" w:rsidR="001D0A17" w:rsidRPr="00AD6338" w:rsidRDefault="001D0A17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has some sequencing and is easy to follow</w:t>
            </w:r>
            <w:r w:rsidRPr="00AD6338">
              <w:rPr>
                <w:rFonts w:asciiTheme="minorHAnsi" w:hAnsiTheme="minorHAnsi"/>
              </w:rPr>
              <w:t xml:space="preserve">; </w:t>
            </w:r>
            <w:r>
              <w:rPr>
                <w:rFonts w:asciiTheme="minorHAnsi" w:hAnsiTheme="minorHAnsi"/>
              </w:rPr>
              <w:t>paragraphing and transitions can be used more effectively.</w:t>
            </w:r>
            <w:r w:rsidRPr="00AD633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 xml:space="preserve">is missing one or more of the following: </w:t>
            </w:r>
            <w:r>
              <w:rPr>
                <w:rFonts w:asciiTheme="minorHAnsi" w:hAnsiTheme="minorHAnsi"/>
              </w:rPr>
              <w:t>author’s name, title of the text, summary of the text, and interpretation of theme.</w:t>
            </w:r>
          </w:p>
        </w:tc>
        <w:tc>
          <w:tcPr>
            <w:tcW w:w="3330" w:type="dxa"/>
          </w:tcPr>
          <w:p w14:paraId="1CB1065D" w14:textId="07ACB915" w:rsidR="001D0A17" w:rsidRPr="00AD6338" w:rsidRDefault="001D0A17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Writing </w:t>
            </w:r>
            <w:r>
              <w:rPr>
                <w:rFonts w:asciiTheme="minorHAnsi" w:hAnsiTheme="minorHAnsi"/>
              </w:rPr>
              <w:t>is disorganized or unfocused and difficult to follow.</w:t>
            </w:r>
            <w:r w:rsidRPr="00AD633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Student is missing one or more of the following: author’s name, title of the text, summary of the text, and interpretation of theme.</w:t>
            </w:r>
          </w:p>
        </w:tc>
      </w:tr>
      <w:tr w:rsidR="001D0A17" w:rsidRPr="00AD6338" w14:paraId="7ECA0E54" w14:textId="77777777" w:rsidTr="004B3F6F">
        <w:tc>
          <w:tcPr>
            <w:tcW w:w="1440" w:type="dxa"/>
          </w:tcPr>
          <w:p w14:paraId="5F93127B" w14:textId="67DBE113" w:rsidR="001D0A17" w:rsidRPr="00AD6338" w:rsidRDefault="001D0A17" w:rsidP="00A25B40">
            <w:r>
              <w:rPr>
                <w:b/>
                <w:bCs/>
              </w:rPr>
              <w:t>Use of Evidence to Support</w:t>
            </w:r>
          </w:p>
          <w:p w14:paraId="2838D359" w14:textId="77777777" w:rsidR="001D0A17" w:rsidRPr="00AD6338" w:rsidRDefault="001D0A17" w:rsidP="00A25B40">
            <w:pPr>
              <w:pStyle w:val="quotesintables"/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B650335" w14:textId="7E0459D0" w:rsidR="001D0A17" w:rsidRPr="00AD6338" w:rsidRDefault="001D0A17" w:rsidP="00A25B40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Theme is supported with strong evidence from the text.  Quote(s) from the text are fluently written within the body of the text.</w:t>
            </w:r>
          </w:p>
        </w:tc>
        <w:tc>
          <w:tcPr>
            <w:tcW w:w="3330" w:type="dxa"/>
          </w:tcPr>
          <w:p w14:paraId="2710CEEE" w14:textId="1AED8E89" w:rsidR="001D0A17" w:rsidRPr="00AD6338" w:rsidRDefault="001D0A17" w:rsidP="00A25B40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Theme is supported with </w:t>
            </w:r>
            <w:r>
              <w:rPr>
                <w:rFonts w:asciiTheme="minorHAnsi" w:hAnsiTheme="minorHAnsi"/>
              </w:rPr>
              <w:t>relevant</w:t>
            </w:r>
            <w:r>
              <w:rPr>
                <w:rFonts w:asciiTheme="minorHAnsi" w:hAnsiTheme="minorHAnsi"/>
              </w:rPr>
              <w:t xml:space="preserve"> evidence from the text.  Quote</w:t>
            </w:r>
            <w:r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from the text are written within the body of the text</w:t>
            </w:r>
            <w:r>
              <w:rPr>
                <w:rFonts w:asciiTheme="minorHAnsi" w:hAnsiTheme="minorHAnsi"/>
              </w:rPr>
              <w:t>.  Student has clearly attempted to fluently include it within his/her writing.</w:t>
            </w:r>
          </w:p>
        </w:tc>
        <w:tc>
          <w:tcPr>
            <w:tcW w:w="3330" w:type="dxa"/>
          </w:tcPr>
          <w:p w14:paraId="4ADF52E2" w14:textId="683AAFC6" w:rsidR="001D0A17" w:rsidRPr="009F2E1D" w:rsidRDefault="001D0A17" w:rsidP="00A25B40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attempts to support the theme with evidence from the text, but evidence is not always relevant to the chosen theme.</w:t>
            </w:r>
            <w:r w:rsidRPr="009F2E1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Student includes a quote from the </w:t>
            </w:r>
            <w:proofErr w:type="gramStart"/>
            <w:r>
              <w:rPr>
                <w:sz w:val="20"/>
                <w:szCs w:val="20"/>
              </w:rPr>
              <w:t>text, but</w:t>
            </w:r>
            <w:proofErr w:type="gramEnd"/>
            <w:r>
              <w:rPr>
                <w:sz w:val="20"/>
                <w:szCs w:val="20"/>
              </w:rPr>
              <w:t xml:space="preserve"> struggles to fluently incorporate it in his/her writing.</w:t>
            </w:r>
          </w:p>
        </w:tc>
        <w:tc>
          <w:tcPr>
            <w:tcW w:w="3330" w:type="dxa"/>
          </w:tcPr>
          <w:p w14:paraId="40155928" w14:textId="6D5ED234" w:rsidR="001D0A17" w:rsidRPr="00AD6338" w:rsidRDefault="001D0A17" w:rsidP="00A25B40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does not use evidence from the text to support the chosen theme.</w:t>
            </w:r>
          </w:p>
        </w:tc>
      </w:tr>
      <w:tr w:rsidR="001D0A17" w:rsidRPr="00AD6338" w14:paraId="229B60AF" w14:textId="77777777" w:rsidTr="004B3F6F">
        <w:trPr>
          <w:trHeight w:val="782"/>
        </w:trPr>
        <w:tc>
          <w:tcPr>
            <w:tcW w:w="1440" w:type="dxa"/>
          </w:tcPr>
          <w:p w14:paraId="2894BAE2" w14:textId="77777777" w:rsidR="001D0A17" w:rsidRPr="00AD6338" w:rsidRDefault="001D0A17" w:rsidP="00A25B40">
            <w:r w:rsidRPr="00AD6338">
              <w:rPr>
                <w:b/>
                <w:bCs/>
              </w:rPr>
              <w:t>Word Choice</w:t>
            </w:r>
          </w:p>
          <w:p w14:paraId="6CD22812" w14:textId="77777777" w:rsidR="001D0A17" w:rsidRPr="00AD6338" w:rsidRDefault="001D0A17" w:rsidP="00A25B40">
            <w:pPr>
              <w:pStyle w:val="quotesintables"/>
              <w:ind w:left="180" w:hanging="18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</w:tcPr>
          <w:p w14:paraId="777504D9" w14:textId="6FB51B96" w:rsidR="001D0A17" w:rsidRPr="00AD6338" w:rsidRDefault="001D0A17" w:rsidP="00A25B40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Effectively includes vivid vocabulary/precise technical words, which energize the writing.</w:t>
            </w:r>
          </w:p>
        </w:tc>
        <w:tc>
          <w:tcPr>
            <w:tcW w:w="3330" w:type="dxa"/>
          </w:tcPr>
          <w:p w14:paraId="330391AB" w14:textId="375AA3D5" w:rsidR="001D0A17" w:rsidRPr="00AD6338" w:rsidRDefault="001D0A17" w:rsidP="00305EB6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Language is functional and appropriate. Some interesting words are used to enhance meaning.</w:t>
            </w:r>
          </w:p>
        </w:tc>
        <w:tc>
          <w:tcPr>
            <w:tcW w:w="3330" w:type="dxa"/>
          </w:tcPr>
          <w:p w14:paraId="2AF81966" w14:textId="1A38D57E" w:rsidR="001D0A17" w:rsidRPr="00AD6338" w:rsidRDefault="001D0A17" w:rsidP="00A25B40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Word choice may be accurate, but there is no attempt at deliberate choice of words that enhance meaning.</w:t>
            </w:r>
          </w:p>
        </w:tc>
        <w:tc>
          <w:tcPr>
            <w:tcW w:w="3330" w:type="dxa"/>
          </w:tcPr>
          <w:p w14:paraId="2F2FE3D0" w14:textId="740A39CB" w:rsidR="001D0A17" w:rsidRPr="00305EB6" w:rsidRDefault="001D0A17" w:rsidP="00A25B40">
            <w:pPr>
              <w:pStyle w:val="quotesintables"/>
              <w:ind w:left="-19" w:right="-56"/>
              <w:rPr>
                <w:rFonts w:asciiTheme="minorHAnsi" w:hAnsiTheme="minorHAnsi" w:cstheme="minorHAnsi"/>
              </w:rPr>
            </w:pPr>
            <w:r w:rsidRPr="00305EB6">
              <w:rPr>
                <w:rFonts w:asciiTheme="minorHAnsi" w:hAnsiTheme="minorHAnsi" w:cstheme="minorHAnsi"/>
                <w:color w:val="000000"/>
              </w:rPr>
              <w:t>Word choice has not been considered and may often be inaccurate.</w:t>
            </w:r>
          </w:p>
        </w:tc>
      </w:tr>
      <w:tr w:rsidR="001D0A17" w:rsidRPr="00AD6338" w14:paraId="7BC76B2E" w14:textId="77777777" w:rsidTr="004B3F6F">
        <w:trPr>
          <w:trHeight w:val="980"/>
        </w:trPr>
        <w:tc>
          <w:tcPr>
            <w:tcW w:w="1440" w:type="dxa"/>
          </w:tcPr>
          <w:p w14:paraId="3DD8DA50" w14:textId="77777777" w:rsidR="001D0A17" w:rsidRPr="00AD6338" w:rsidRDefault="001D0A17" w:rsidP="00A25B40">
            <w:r w:rsidRPr="00AD6338">
              <w:rPr>
                <w:b/>
                <w:bCs/>
              </w:rPr>
              <w:t>Sentence Fluency</w:t>
            </w:r>
          </w:p>
          <w:p w14:paraId="433C0681" w14:textId="77777777" w:rsidR="001D0A17" w:rsidRPr="00AD6338" w:rsidRDefault="001D0A17" w:rsidP="00A25B40">
            <w:pPr>
              <w:pStyle w:val="quotesintables"/>
              <w:ind w:left="180" w:hanging="18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</w:tcPr>
          <w:p w14:paraId="66E1C353" w14:textId="5B2B6787" w:rsidR="001D0A17" w:rsidRPr="00AD6338" w:rsidRDefault="001D0A17" w:rsidP="00A25B40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Includes different kinds of sentences, with a variety of sentence lengths and beginnings to create fluidity.</w:t>
            </w:r>
          </w:p>
        </w:tc>
        <w:tc>
          <w:tcPr>
            <w:tcW w:w="3330" w:type="dxa"/>
          </w:tcPr>
          <w:p w14:paraId="2C5E9078" w14:textId="77777777" w:rsidR="001D0A17" w:rsidRPr="00AD6338" w:rsidRDefault="001D0A17" w:rsidP="004E5A7C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proofErr w:type="gramStart"/>
            <w:r w:rsidRPr="00AD6338">
              <w:rPr>
                <w:rFonts w:asciiTheme="minorHAnsi" w:hAnsiTheme="minorHAnsi"/>
              </w:rPr>
              <w:t>Generally</w:t>
            </w:r>
            <w:proofErr w:type="gramEnd"/>
            <w:r w:rsidRPr="00AD6338">
              <w:rPr>
                <w:rFonts w:asciiTheme="minorHAnsi" w:hAnsiTheme="minorHAnsi"/>
              </w:rPr>
              <w:t xml:space="preserve"> in control. Some variety in length and structure.</w:t>
            </w:r>
          </w:p>
          <w:p w14:paraId="70D25BBA" w14:textId="54C9C22F" w:rsidR="001D0A17" w:rsidRPr="00AD6338" w:rsidRDefault="001D0A17" w:rsidP="00A25B40">
            <w:pPr>
              <w:pStyle w:val="quotesintables"/>
              <w:ind w:left="-19" w:right="-56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4E28D9B3" w14:textId="781419C4" w:rsidR="001D0A17" w:rsidRPr="00AD6338" w:rsidRDefault="001D0A17" w:rsidP="004E5A7C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Some awkward constructions with many similar patterns and beginnings.  Some run-on/fragment sentences.</w:t>
            </w:r>
          </w:p>
        </w:tc>
        <w:tc>
          <w:tcPr>
            <w:tcW w:w="3330" w:type="dxa"/>
          </w:tcPr>
          <w:p w14:paraId="1034785B" w14:textId="46C6A7F7" w:rsidR="001D0A17" w:rsidRPr="00AD6338" w:rsidRDefault="001D0A17" w:rsidP="00A25B40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 xml:space="preserve">Sentence structure impedes readability. Frequent run-on/fragment sentences take away from </w:t>
            </w:r>
            <w:r>
              <w:rPr>
                <w:rFonts w:asciiTheme="minorHAnsi" w:hAnsiTheme="minorHAnsi"/>
              </w:rPr>
              <w:t>fluidity of piece.</w:t>
            </w:r>
          </w:p>
        </w:tc>
      </w:tr>
      <w:tr w:rsidR="001D0A17" w:rsidRPr="00AD6338" w14:paraId="09062A78" w14:textId="77777777" w:rsidTr="004B3F6F">
        <w:tc>
          <w:tcPr>
            <w:tcW w:w="1440" w:type="dxa"/>
          </w:tcPr>
          <w:p w14:paraId="2C67CF14" w14:textId="77777777" w:rsidR="001D0A17" w:rsidRPr="00AD6338" w:rsidRDefault="001D0A17" w:rsidP="00A25B40">
            <w:r w:rsidRPr="00AD6338">
              <w:rPr>
                <w:b/>
                <w:bCs/>
              </w:rPr>
              <w:t>Conventions</w:t>
            </w:r>
          </w:p>
          <w:p w14:paraId="25800669" w14:textId="77777777" w:rsidR="001D0A17" w:rsidRPr="00AD6338" w:rsidRDefault="001D0A17" w:rsidP="00A25B40">
            <w:pPr>
              <w:pStyle w:val="quotesintables"/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5A81F7D" w14:textId="7F3CE658" w:rsidR="001D0A17" w:rsidRPr="00AD6338" w:rsidRDefault="001D0A17" w:rsidP="00A25B40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  <w:r w:rsidRPr="00AD6338">
              <w:rPr>
                <w:sz w:val="20"/>
                <w:szCs w:val="20"/>
              </w:rPr>
              <w:t xml:space="preserve">Strong control of standard conventions of writing, including internal punctuation, correctly spelling most words, and proper use of grammatical structures; errors are few and minor.  </w:t>
            </w:r>
            <w:r>
              <w:rPr>
                <w:sz w:val="20"/>
                <w:szCs w:val="20"/>
              </w:rPr>
              <w:t>Title of text is underlined/italicized.</w:t>
            </w:r>
          </w:p>
        </w:tc>
        <w:tc>
          <w:tcPr>
            <w:tcW w:w="3330" w:type="dxa"/>
          </w:tcPr>
          <w:p w14:paraId="181C64D0" w14:textId="77777777" w:rsidR="001D0A17" w:rsidRPr="00AD6338" w:rsidRDefault="001D0A17" w:rsidP="001D0A17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Control of most writing conventions; errors are few and minor.</w:t>
            </w:r>
          </w:p>
          <w:p w14:paraId="3B82C34F" w14:textId="4946D907" w:rsidR="001D0A17" w:rsidRPr="00AD6338" w:rsidRDefault="001D0A17" w:rsidP="00A25B40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EBBC0B7" w14:textId="546E11EF" w:rsidR="001D0A17" w:rsidRPr="001D0A17" w:rsidRDefault="001D0A17" w:rsidP="001D0A17">
            <w:pPr>
              <w:pStyle w:val="quotesintables"/>
              <w:ind w:left="-19" w:right="-56"/>
              <w:rPr>
                <w:rFonts w:asciiTheme="minorHAnsi" w:hAnsiTheme="minorHAnsi" w:cstheme="minorHAnsi"/>
              </w:rPr>
            </w:pPr>
            <w:r w:rsidRPr="001D0A17">
              <w:rPr>
                <w:rFonts w:asciiTheme="minorHAnsi" w:hAnsiTheme="minorHAnsi" w:cstheme="minorHAnsi"/>
                <w:color w:val="000000"/>
              </w:rPr>
              <w:t>Errors in grammar, spelling, and punctuation sometimes interfere with understanding.</w:t>
            </w:r>
          </w:p>
        </w:tc>
        <w:tc>
          <w:tcPr>
            <w:tcW w:w="3330" w:type="dxa"/>
          </w:tcPr>
          <w:p w14:paraId="2445B104" w14:textId="77777777" w:rsidR="001D0A17" w:rsidRPr="00AD6338" w:rsidRDefault="001D0A17" w:rsidP="001D0A17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 xml:space="preserve">Frequent significant errors, which impede readability. </w:t>
            </w:r>
          </w:p>
          <w:p w14:paraId="34C9211D" w14:textId="16C6671A" w:rsidR="001D0A17" w:rsidRPr="00AD6338" w:rsidRDefault="001D0A17" w:rsidP="00A25B40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</w:p>
        </w:tc>
      </w:tr>
    </w:tbl>
    <w:p w14:paraId="4C97F0C5" w14:textId="27B89903" w:rsidR="009E4F0D" w:rsidRDefault="009E4F0D" w:rsidP="009E4F0D">
      <w:pPr>
        <w:rPr>
          <w:b/>
        </w:rPr>
      </w:pPr>
    </w:p>
    <w:p w14:paraId="6FD2BD23" w14:textId="102060F1" w:rsidR="00DD357D" w:rsidRPr="00331CD2" w:rsidRDefault="00DD357D" w:rsidP="009E4F0D">
      <w:pPr>
        <w:rPr>
          <w:b/>
          <w:sz w:val="28"/>
          <w:szCs w:val="28"/>
        </w:rPr>
      </w:pPr>
      <w:r w:rsidRPr="00331CD2">
        <w:rPr>
          <w:b/>
          <w:sz w:val="28"/>
          <w:szCs w:val="28"/>
        </w:rPr>
        <w:t>Total:         /24</w:t>
      </w:r>
      <w:bookmarkStart w:id="0" w:name="_GoBack"/>
      <w:bookmarkEnd w:id="0"/>
    </w:p>
    <w:p w14:paraId="7BFC91BA" w14:textId="20F701E9" w:rsidR="009E4F0D" w:rsidRPr="00AD6338" w:rsidRDefault="009E4F0D" w:rsidP="009E4F0D">
      <w:pPr>
        <w:rPr>
          <w:b/>
        </w:rPr>
      </w:pPr>
      <w:r w:rsidRPr="00AD6338">
        <w:rPr>
          <w:b/>
        </w:rPr>
        <w:t xml:space="preserve">        </w:t>
      </w:r>
    </w:p>
    <w:sectPr w:rsidR="009E4F0D" w:rsidRPr="00AD6338" w:rsidSect="00AD6338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4C54"/>
    <w:multiLevelType w:val="hybridMultilevel"/>
    <w:tmpl w:val="C0AC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32"/>
    <w:rsid w:val="00015D58"/>
    <w:rsid w:val="0002373E"/>
    <w:rsid w:val="000377BD"/>
    <w:rsid w:val="000B7FC6"/>
    <w:rsid w:val="00112104"/>
    <w:rsid w:val="00112E0C"/>
    <w:rsid w:val="00122A65"/>
    <w:rsid w:val="00166C54"/>
    <w:rsid w:val="00173632"/>
    <w:rsid w:val="00185866"/>
    <w:rsid w:val="001A2F0E"/>
    <w:rsid w:val="001A7A56"/>
    <w:rsid w:val="001D0A17"/>
    <w:rsid w:val="001D20A7"/>
    <w:rsid w:val="001E376F"/>
    <w:rsid w:val="002207F8"/>
    <w:rsid w:val="002214DC"/>
    <w:rsid w:val="00226C8F"/>
    <w:rsid w:val="00245EEA"/>
    <w:rsid w:val="002B41EA"/>
    <w:rsid w:val="00305EB6"/>
    <w:rsid w:val="003208F9"/>
    <w:rsid w:val="00331CD2"/>
    <w:rsid w:val="00364CC4"/>
    <w:rsid w:val="00365928"/>
    <w:rsid w:val="003963A3"/>
    <w:rsid w:val="003B0B8E"/>
    <w:rsid w:val="003B5A7B"/>
    <w:rsid w:val="003E0E6E"/>
    <w:rsid w:val="0043428D"/>
    <w:rsid w:val="00444DE2"/>
    <w:rsid w:val="00451937"/>
    <w:rsid w:val="00474681"/>
    <w:rsid w:val="00496EB0"/>
    <w:rsid w:val="004B292D"/>
    <w:rsid w:val="004B3F6F"/>
    <w:rsid w:val="004E5A7C"/>
    <w:rsid w:val="00502A4F"/>
    <w:rsid w:val="0051149D"/>
    <w:rsid w:val="00542574"/>
    <w:rsid w:val="005A3AAD"/>
    <w:rsid w:val="005D24E7"/>
    <w:rsid w:val="00623DFC"/>
    <w:rsid w:val="00663978"/>
    <w:rsid w:val="006F477A"/>
    <w:rsid w:val="00780C14"/>
    <w:rsid w:val="007A384D"/>
    <w:rsid w:val="007D5872"/>
    <w:rsid w:val="007F46DD"/>
    <w:rsid w:val="00816087"/>
    <w:rsid w:val="008555D5"/>
    <w:rsid w:val="00885573"/>
    <w:rsid w:val="00890B60"/>
    <w:rsid w:val="008B260A"/>
    <w:rsid w:val="008B26EA"/>
    <w:rsid w:val="008C2C84"/>
    <w:rsid w:val="009339CE"/>
    <w:rsid w:val="00951CFB"/>
    <w:rsid w:val="0095349B"/>
    <w:rsid w:val="00956568"/>
    <w:rsid w:val="00957E1A"/>
    <w:rsid w:val="009E4F0D"/>
    <w:rsid w:val="009F26EF"/>
    <w:rsid w:val="009F2E1D"/>
    <w:rsid w:val="00A25B40"/>
    <w:rsid w:val="00A275CB"/>
    <w:rsid w:val="00A46321"/>
    <w:rsid w:val="00A46382"/>
    <w:rsid w:val="00A609AC"/>
    <w:rsid w:val="00AB06F9"/>
    <w:rsid w:val="00AD6338"/>
    <w:rsid w:val="00AF4BA8"/>
    <w:rsid w:val="00B23BC5"/>
    <w:rsid w:val="00B32E70"/>
    <w:rsid w:val="00B825FA"/>
    <w:rsid w:val="00C05BAE"/>
    <w:rsid w:val="00C36E91"/>
    <w:rsid w:val="00C41847"/>
    <w:rsid w:val="00C57B32"/>
    <w:rsid w:val="00C765F7"/>
    <w:rsid w:val="00CA7A94"/>
    <w:rsid w:val="00CC2ACC"/>
    <w:rsid w:val="00CD5A29"/>
    <w:rsid w:val="00CE48DA"/>
    <w:rsid w:val="00CE7410"/>
    <w:rsid w:val="00CF021D"/>
    <w:rsid w:val="00DD357D"/>
    <w:rsid w:val="00DF49BE"/>
    <w:rsid w:val="00E034E9"/>
    <w:rsid w:val="00E14603"/>
    <w:rsid w:val="00E36D14"/>
    <w:rsid w:val="00E70D3F"/>
    <w:rsid w:val="00E84D0B"/>
    <w:rsid w:val="00E9256D"/>
    <w:rsid w:val="00EB2E51"/>
    <w:rsid w:val="00F06CB3"/>
    <w:rsid w:val="00F36C84"/>
    <w:rsid w:val="00F65034"/>
    <w:rsid w:val="00F91E79"/>
    <w:rsid w:val="00FC13BC"/>
    <w:rsid w:val="00FD45D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C038"/>
  <w15:chartTrackingRefBased/>
  <w15:docId w15:val="{00FAD9C5-9ED7-4CCE-B6D9-8A45C3FF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intables">
    <w:name w:val="quotesintables"/>
    <w:basedOn w:val="Normal"/>
    <w:rsid w:val="00173632"/>
    <w:pPr>
      <w:spacing w:after="0" w:line="240" w:lineRule="auto"/>
      <w:ind w:left="72"/>
    </w:pPr>
    <w:rPr>
      <w:rFonts w:ascii="Garamond" w:eastAsia="Times New Roman" w:hAnsi="Garamon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60</cp:revision>
  <cp:lastPrinted>2019-10-17T18:18:00Z</cp:lastPrinted>
  <dcterms:created xsi:type="dcterms:W3CDTF">2020-03-18T14:01:00Z</dcterms:created>
  <dcterms:modified xsi:type="dcterms:W3CDTF">2020-03-18T14:21:00Z</dcterms:modified>
</cp:coreProperties>
</file>